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内蒙古自治区物业管理协会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宋体" w:hAnsi="宋体" w:eastAsia="宋体" w:cs="宋体"/>
          <w:b/>
          <w:bCs/>
          <w:sz w:val="44"/>
          <w:szCs w:val="44"/>
          <w:lang w:val="en-US" w:eastAsia="zh-CN"/>
        </w:rPr>
        <w:t>会员积分管理办法</w:t>
      </w:r>
    </w:p>
    <w:p>
      <w:pPr>
        <w:rPr>
          <w:rFonts w:hint="eastAsia" w:ascii="仿宋" w:hAnsi="仿宋" w:eastAsia="仿宋" w:cs="仿宋"/>
          <w:sz w:val="18"/>
          <w:szCs w:val="18"/>
          <w:lang w:val="en-US" w:eastAsia="zh-CN"/>
        </w:rPr>
      </w:pPr>
    </w:p>
    <w:p>
      <w:pPr>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第一章 总则</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大力推动内蒙古自治区物业管理协会（以下简称“协会”）工作，鼓励会员单位积极参与行业活动和履行社会责任，增强协会的凝聚力和向心力，进一步提升协会的服务能力和服务质量，根据协会章程结合工作实际，制定本办法。</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本办法适用于协会全体会员单位。</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积分管理是客观评价会员单位对行业发展的贡献程度，真实记录各会员单位参与和支持协会工作的情况。</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积分管理遵循公开公平、客观透明原则。   </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会员积分分为季度积分、年度积分、届内积分。会员单位在协会工作中满足积分条件，可获得相应积分。</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第六条 </w:t>
      </w:r>
      <w:r>
        <w:rPr>
          <w:rFonts w:hint="eastAsia" w:ascii="仿宋" w:hAnsi="仿宋" w:eastAsia="仿宋" w:cs="仿宋"/>
          <w:sz w:val="32"/>
          <w:szCs w:val="32"/>
          <w:lang w:val="en-US" w:eastAsia="zh-CN"/>
        </w:rPr>
        <w:t>协会秘书处负责会员单位积分工作的日常记录、统计、公布和应用。</w:t>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会员积分标准和要求</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职务积分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1.会长单位记8分；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2.副会长单位记6分；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3.副秘书长单位记4分；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4.常务理事单位记3分；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5.理事单位记2分；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6.会员单位记1分；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职务积分每年第四季度记录一次。</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会费积分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1.第一季度足额交纳会费的记5分；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2.第二季度足额交纳会费的记3分；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3.第三季度足额交纳会费的记1分；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4.第四季度交纳不得分；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5.本年度未交纳会费所有积分清零；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6.提前预交下一年度或者多年度会费的，预交一年额外加5分，两年额外加10分，以此类推，预交会费的额外积分记入本年积分，已预交年份会费积分按5分记录。</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会议积分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1.会员代表大会出任人参加会议记5分，派代表参加记3分，未参加扣3分。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2.理事会、常务理事会出任人参加会议记5分，派代表参加记2分，未参加扣2分。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3.会长工作（办公）会会长、副会长出任人参加会议记5分，派代表参加记1分，未参加扣5分。监事或者副秘书长根据会议要求出任人列席会议的记3分，派代表列席会议的记1分，未列席的扣2分。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4.调研会、发布会、座谈会、监事会、专委会会议等其他类型会议出任人参加2分，派代表参加1分，未参加扣1分。</w:t>
      </w:r>
    </w:p>
    <w:p>
      <w:p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5.会议地点距参会单位距离较远且</w:t>
      </w:r>
      <w:r>
        <w:rPr>
          <w:rFonts w:hint="eastAsia" w:ascii="仿宋" w:hAnsi="仿宋" w:eastAsia="仿宋" w:cs="仿宋"/>
          <w:sz w:val="32"/>
          <w:szCs w:val="32"/>
          <w:lang w:val="en-US" w:eastAsia="zh-CN"/>
        </w:rPr>
        <w:t>出任</w:t>
      </w:r>
      <w:r>
        <w:rPr>
          <w:rFonts w:hint="eastAsia" w:ascii="仿宋" w:hAnsi="仿宋" w:eastAsia="仿宋" w:cs="仿宋"/>
          <w:color w:val="auto"/>
          <w:sz w:val="32"/>
          <w:szCs w:val="32"/>
          <w:lang w:val="en-US" w:eastAsia="zh-CN"/>
        </w:rPr>
        <w:t>人参加的各项会议额外加1-3分，派代表参加的额外加1分，距离是否为较远由秘书处工作人员按照实际情况确认。</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党建、培训、讲座、论坛、参观、考察、竞赛、文体等活动积分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1.党建活动主动报名参加的每单位记5分；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2.其他公益性活动报名参加的每人每次记0.5分，报名未参加每人每次扣1分；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3.其他非公益性活动报名参加的每人每次记3分；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4.活动</w:t>
      </w:r>
      <w:r>
        <w:rPr>
          <w:rFonts w:hint="eastAsia" w:ascii="仿宋" w:hAnsi="仿宋" w:eastAsia="仿宋" w:cs="仿宋"/>
          <w:color w:val="auto"/>
          <w:sz w:val="32"/>
          <w:szCs w:val="32"/>
          <w:lang w:val="en-US" w:eastAsia="zh-CN"/>
        </w:rPr>
        <w:t>地点距参加单位距离较远的额外加1-3分，距离是否为较远由秘书处工作人员按照实际情况确认。</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工作积分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1.承办或协办协会组织举办的各类会议、活动的会员单位将依据承办、协办具体事项及完成情况给予1-100的加分；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2.承担或参与协会重要课题、各类专题工作计划、报告、规范性文件、教材或实施方案等起草工作的会员单位将依据材料的难度、投入、成果给予1-50的加分；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3.积极为协会工作建言献策并被采纳的会员单位给予5-10的加分；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4.借调工作人员在协会秘书处工作的每人每月记7分；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5.提供参观学习项目场地每个记5分；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6.提供15人以上会议室的每次记3分；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7.提供车辆的每天每车记3分；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8.提供会议或活动工作人员的每人每天记1分；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9.按时完成协会通知要求上报的材料或报表等工作任务的按照材料的难易程度每次记1-3分；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10.积极投稿的每次记1分，被采纳的记2分；</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11.在微信群内为其他会员单位答疑解难的每次记0.5分；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12.成功推荐物业企业入会的会员单位，每推荐一家记10分；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13.企业负责人（出任人）或联系人成功加入协会微信群的每单位记5分（需会员单位主动联系协会秘书处工作人员记分）；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14.企业负责人（出任人）或联系人成功关注协会微信公众号的每单位记3分（需会员单位主动联系协会秘书处工作人员确认记分）。</w:t>
      </w:r>
    </w:p>
    <w:p>
      <w:pPr>
        <w:numPr>
          <w:ilvl w:val="0"/>
          <w:numId w:val="0"/>
        </w:num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第十二条 </w:t>
      </w:r>
      <w:r>
        <w:rPr>
          <w:rFonts w:hint="eastAsia" w:ascii="仿宋" w:hAnsi="仿宋" w:eastAsia="仿宋" w:cs="仿宋"/>
          <w:b w:val="0"/>
          <w:bCs w:val="0"/>
          <w:color w:val="auto"/>
          <w:sz w:val="32"/>
          <w:szCs w:val="32"/>
          <w:lang w:val="en-US" w:eastAsia="zh-CN"/>
        </w:rPr>
        <w:t>表彰积分</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被评为上年度最佳会员单位的企业本年度表彰积分记8分；</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被评为上年度优秀会员单位的企业本年度表彰积分记5分。</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第十三条 </w:t>
      </w:r>
      <w:r>
        <w:rPr>
          <w:rFonts w:hint="eastAsia" w:ascii="仿宋" w:hAnsi="仿宋" w:eastAsia="仿宋" w:cs="仿宋"/>
          <w:sz w:val="32"/>
          <w:szCs w:val="32"/>
          <w:lang w:val="en-US" w:eastAsia="zh-CN"/>
        </w:rPr>
        <w:t>其他积分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未列入本办法积分范围内的其他活动，参照本办法相关活动的积分方式，由秘书处给予相应的积分。</w:t>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积分的公示和使用</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积分的公示</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1.季度积分每季度发布一次，第一、二、三、四季度积分在本季度后第一周内公示，</w:t>
      </w:r>
      <w:r>
        <w:rPr>
          <w:rFonts w:hint="eastAsia" w:ascii="仿宋" w:hAnsi="仿宋" w:eastAsia="仿宋" w:cs="仿宋"/>
          <w:color w:val="auto"/>
          <w:sz w:val="32"/>
          <w:szCs w:val="32"/>
          <w:lang w:val="en-US" w:eastAsia="zh-CN"/>
        </w:rPr>
        <w:t>第一季度积分为1-3月积分总和，第二季度积分为4-6月积分总和，第三季度积分为7-9月积分总和，第四季度积分为10-12月积分总和；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2.年度积分在</w:t>
      </w:r>
      <w:r>
        <w:rPr>
          <w:rFonts w:hint="eastAsia" w:ascii="仿宋" w:hAnsi="仿宋" w:eastAsia="仿宋" w:cs="仿宋"/>
          <w:color w:val="auto"/>
          <w:sz w:val="32"/>
          <w:szCs w:val="32"/>
          <w:lang w:val="en-US" w:eastAsia="zh-CN"/>
        </w:rPr>
        <w:t>次年1月份公示，年度积分为本年1-12月积分总和</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3.届内积分在</w:t>
      </w:r>
      <w:r>
        <w:rPr>
          <w:rFonts w:hint="eastAsia" w:ascii="仿宋" w:hAnsi="仿宋" w:eastAsia="仿宋" w:cs="仿宋"/>
          <w:color w:val="auto"/>
          <w:sz w:val="32"/>
          <w:szCs w:val="32"/>
          <w:lang w:val="en-US" w:eastAsia="zh-CN"/>
        </w:rPr>
        <w:t>章程规定的换届年度公示，届内积分为本届所有年度积分总和</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4.季度积分、年度积分、届内积分将在协会网站和微信公众号上同时公示，</w:t>
      </w:r>
      <w:r>
        <w:rPr>
          <w:rFonts w:hint="eastAsia" w:ascii="仿宋" w:hAnsi="仿宋" w:eastAsia="仿宋" w:cs="仿宋"/>
          <w:color w:val="auto"/>
          <w:sz w:val="32"/>
          <w:szCs w:val="32"/>
          <w:lang w:val="en-US" w:eastAsia="zh-CN"/>
        </w:rPr>
        <w:t>公示期一周，如公示期内无异议则为最终积分。</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积分的使用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1.季度积分和年度积分使用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（1）作为年度理事会增补副会长、常务理事、理事，聘任副秘书长的依据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增补副会长单位的积分需在前30名之内（含30名）；聘任副秘书长单位的积分需在前60名之内（含60名）；增补常务理事单位的积分需在前120名之内（含120名）；增补理事单位的积分需在前240名之内（含240名）。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（2）评选表彰年度最佳会员单位和优秀会员单位的依据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取积分排名前5-15名（依据会员单位数量基数而定）的会员单位颁发年度最佳会员单位奖；取积分排名前6-35名（依据会员单位数量基数而定）会员单位颁发年度优秀会员单位奖。最佳会员单位和优秀会员单位不重叠表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（3）积分排名在前100名的企业优先享有以下服务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优先在协会网站会员风采专栏展示企业logo和风采；优先在刊物、公众号发表署名文章，推送企业信息，展示企业形象，优先参加免费公益活动，收费培训视情况享受优惠。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届内积分作为换届选举推荐候选理事、常务理事、秘书长、副会长、会长单位和聘任副秘书长单位的主要依据。以上职务推荐的范围将根据换届当年会员单位数量和届内积分排名情况具体确定并在推荐通知内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3.会员单位有下列行为的，限制积分的使用：受到各级行政主管部门行政处罚的、受到协会通报批评和公开谴责的、未缴纳会费或拖欠会费的、其他违法违规违约违反协会章程等行为。</w:t>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附则</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xml:space="preserve"> 本办法将根据行业发展情况和实际工作需要由协会适时进行修改。</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xml:space="preserve"> 本办法由内蒙古自治区物业管理协会负责解释。</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xml:space="preserve"> 本办法经四届四次理事会审议通过之日起执行。</w:t>
      </w:r>
    </w:p>
    <w:p>
      <w:p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内蒙古自治区物业管理协会会员积分标准</w:t>
      </w:r>
    </w:p>
    <w:p>
      <w:pPr>
        <w:rPr>
          <w:rFonts w:hint="eastAsia"/>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80"/>
        <w:gridCol w:w="522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noWrap w:val="0"/>
            <w:vAlign w:val="center"/>
          </w:tcPr>
          <w:p>
            <w:pPr>
              <w:jc w:val="center"/>
              <w:rPr>
                <w:rFonts w:hint="eastAsia"/>
                <w:b/>
                <w:bCs/>
                <w:sz w:val="28"/>
                <w:szCs w:val="28"/>
                <w:shd w:val="clear" w:color="auto" w:fill="auto"/>
                <w:vertAlign w:val="baseline"/>
                <w:lang w:val="en-US" w:eastAsia="zh-CN"/>
              </w:rPr>
            </w:pPr>
            <w:r>
              <w:rPr>
                <w:rFonts w:hint="eastAsia"/>
                <w:b/>
                <w:bCs/>
                <w:sz w:val="28"/>
                <w:szCs w:val="28"/>
                <w:shd w:val="clear" w:color="auto" w:fill="auto"/>
                <w:lang w:val="en-US" w:eastAsia="zh-CN"/>
              </w:rPr>
              <w:t>序号</w:t>
            </w:r>
          </w:p>
        </w:tc>
        <w:tc>
          <w:tcPr>
            <w:tcW w:w="1380" w:type="dxa"/>
            <w:noWrap w:val="0"/>
            <w:vAlign w:val="center"/>
          </w:tcPr>
          <w:p>
            <w:pPr>
              <w:jc w:val="center"/>
              <w:rPr>
                <w:rFonts w:hint="eastAsia"/>
                <w:b/>
                <w:bCs/>
                <w:sz w:val="28"/>
                <w:szCs w:val="28"/>
                <w:shd w:val="clear" w:color="auto" w:fill="auto"/>
                <w:vertAlign w:val="baseline"/>
                <w:lang w:val="en-US" w:eastAsia="zh-CN"/>
              </w:rPr>
            </w:pPr>
            <w:r>
              <w:rPr>
                <w:rFonts w:hint="eastAsia"/>
                <w:b/>
                <w:bCs/>
                <w:sz w:val="28"/>
                <w:szCs w:val="28"/>
                <w:shd w:val="clear" w:color="auto" w:fill="auto"/>
                <w:vertAlign w:val="baseline"/>
                <w:lang w:val="en-US" w:eastAsia="zh-CN"/>
              </w:rPr>
              <w:t>积分类别</w:t>
            </w:r>
          </w:p>
        </w:tc>
        <w:tc>
          <w:tcPr>
            <w:tcW w:w="5220" w:type="dxa"/>
            <w:noWrap w:val="0"/>
            <w:vAlign w:val="center"/>
          </w:tcPr>
          <w:p>
            <w:pPr>
              <w:jc w:val="center"/>
              <w:rPr>
                <w:rFonts w:hint="eastAsia"/>
                <w:b/>
                <w:bCs/>
                <w:sz w:val="28"/>
                <w:szCs w:val="28"/>
                <w:shd w:val="clear" w:color="auto" w:fill="auto"/>
                <w:vertAlign w:val="baseline"/>
                <w:lang w:val="en-US" w:eastAsia="zh-CN"/>
              </w:rPr>
            </w:pPr>
            <w:r>
              <w:rPr>
                <w:rFonts w:hint="eastAsia"/>
                <w:b/>
                <w:bCs/>
                <w:sz w:val="28"/>
                <w:szCs w:val="28"/>
                <w:shd w:val="clear" w:color="auto" w:fill="auto"/>
                <w:vertAlign w:val="baseline"/>
                <w:lang w:val="en-US" w:eastAsia="zh-CN"/>
              </w:rPr>
              <w:t>积分标准</w:t>
            </w:r>
          </w:p>
        </w:tc>
        <w:tc>
          <w:tcPr>
            <w:tcW w:w="1118" w:type="dxa"/>
            <w:noWrap w:val="0"/>
            <w:vAlign w:val="center"/>
          </w:tcPr>
          <w:p>
            <w:pPr>
              <w:jc w:val="center"/>
              <w:rPr>
                <w:rFonts w:hint="eastAsia"/>
                <w:b/>
                <w:bCs/>
                <w:sz w:val="28"/>
                <w:szCs w:val="28"/>
                <w:shd w:val="clear" w:color="auto" w:fill="auto"/>
                <w:vertAlign w:val="baseline"/>
                <w:lang w:val="en-US" w:eastAsia="zh-CN"/>
              </w:rPr>
            </w:pPr>
            <w:r>
              <w:rPr>
                <w:rFonts w:hint="eastAsia"/>
                <w:b/>
                <w:bCs/>
                <w:sz w:val="28"/>
                <w:szCs w:val="28"/>
                <w:shd w:val="clear" w:color="auto" w:fill="auto"/>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1</w:t>
            </w:r>
          </w:p>
        </w:tc>
        <w:tc>
          <w:tcPr>
            <w:tcW w:w="1380" w:type="dxa"/>
            <w:vMerge w:val="restart"/>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职务积分</w:t>
            </w: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会长单位</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2</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副会长单位</w:t>
            </w:r>
          </w:p>
        </w:tc>
        <w:tc>
          <w:tcPr>
            <w:tcW w:w="1118"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3</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副秘书长单位</w:t>
            </w:r>
          </w:p>
        </w:tc>
        <w:tc>
          <w:tcPr>
            <w:tcW w:w="1118"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4</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常务理事单位</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5</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理事单位</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6</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会员单位</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7</w:t>
            </w:r>
          </w:p>
        </w:tc>
        <w:tc>
          <w:tcPr>
            <w:tcW w:w="1380" w:type="dxa"/>
            <w:vMerge w:val="restart"/>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会费积分</w:t>
            </w:r>
          </w:p>
        </w:tc>
        <w:tc>
          <w:tcPr>
            <w:tcW w:w="5220" w:type="dxa"/>
            <w:noWrap w:val="0"/>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第一季度足额交纳会费</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8</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第二季度足额交纳会费</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9</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第三季度足额交纳会费</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10</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预交下年度或者多年度会费</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11</w:t>
            </w:r>
          </w:p>
        </w:tc>
        <w:tc>
          <w:tcPr>
            <w:tcW w:w="1380" w:type="dxa"/>
            <w:vMerge w:val="restart"/>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会议积分</w:t>
            </w: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会员代表大会出任人参加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12</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会员代表大会派代表参加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13</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会员代表大会未参加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14</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理事会、常务理事会出任人参加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15</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理事会、常务理事会派代表参加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16</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理事会、常务理事会未参加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17</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会长办公会出任人参加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18</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会长办公会派代表参加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19</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会长办公会未参加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20</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会长办公会监事、副秘书长出任人列席</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21</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会长办公会监事、副秘书长派代表列席</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22</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会长办公会监事、副秘书长未参加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23</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调研会、发布会、座谈会、监事会、专委会</w:t>
            </w:r>
            <w:r>
              <w:rPr>
                <w:rFonts w:hint="eastAsia" w:ascii="宋体" w:hAnsi="宋体" w:cs="宋体"/>
                <w:sz w:val="24"/>
                <w:szCs w:val="24"/>
                <w:lang w:val="en-US" w:eastAsia="zh-CN"/>
              </w:rPr>
              <w:t>会议</w:t>
            </w:r>
            <w:r>
              <w:rPr>
                <w:rFonts w:hint="eastAsia" w:ascii="宋体" w:hAnsi="宋体" w:eastAsia="宋体" w:cs="宋体"/>
                <w:sz w:val="24"/>
                <w:szCs w:val="24"/>
                <w:lang w:val="en-US" w:eastAsia="zh-CN"/>
              </w:rPr>
              <w:t>等其他类型会议</w:t>
            </w:r>
            <w:r>
              <w:rPr>
                <w:rFonts w:hint="eastAsia"/>
                <w:sz w:val="24"/>
                <w:szCs w:val="24"/>
                <w:vertAlign w:val="baseline"/>
                <w:lang w:val="en-US" w:eastAsia="zh-CN"/>
              </w:rPr>
              <w:t>出任</w:t>
            </w:r>
            <w:r>
              <w:rPr>
                <w:rFonts w:hint="eastAsia" w:ascii="宋体" w:hAnsi="宋体" w:eastAsia="宋体" w:cs="宋体"/>
                <w:sz w:val="24"/>
                <w:szCs w:val="24"/>
                <w:lang w:val="en-US" w:eastAsia="zh-CN"/>
              </w:rPr>
              <w:t>人参加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24</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调研会、发布会、座谈会、监事会、专委会</w:t>
            </w:r>
            <w:r>
              <w:rPr>
                <w:rFonts w:hint="eastAsia" w:ascii="宋体" w:hAnsi="宋体" w:cs="宋体"/>
                <w:sz w:val="24"/>
                <w:szCs w:val="24"/>
                <w:lang w:val="en-US" w:eastAsia="zh-CN"/>
              </w:rPr>
              <w:t>会议</w:t>
            </w:r>
            <w:r>
              <w:rPr>
                <w:rFonts w:hint="eastAsia" w:ascii="宋体" w:hAnsi="宋体" w:eastAsia="宋体" w:cs="宋体"/>
                <w:sz w:val="24"/>
                <w:szCs w:val="24"/>
                <w:lang w:val="en-US" w:eastAsia="zh-CN"/>
              </w:rPr>
              <w:t>等其他类型会</w:t>
            </w:r>
            <w:r>
              <w:rPr>
                <w:rFonts w:hint="eastAsia" w:ascii="宋体" w:hAnsi="宋体" w:cs="宋体"/>
                <w:sz w:val="24"/>
                <w:szCs w:val="24"/>
                <w:lang w:val="en-US" w:eastAsia="zh-CN"/>
              </w:rPr>
              <w:t>派代表</w:t>
            </w:r>
            <w:r>
              <w:rPr>
                <w:rFonts w:hint="eastAsia" w:ascii="宋体" w:hAnsi="宋体" w:eastAsia="宋体" w:cs="宋体"/>
                <w:sz w:val="24"/>
                <w:szCs w:val="24"/>
                <w:lang w:val="en-US" w:eastAsia="zh-CN"/>
              </w:rPr>
              <w:t>人参加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25</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调研会、发布会、座谈会、监事会、专委会</w:t>
            </w:r>
            <w:r>
              <w:rPr>
                <w:rFonts w:hint="eastAsia" w:ascii="宋体" w:hAnsi="宋体" w:cs="宋体"/>
                <w:sz w:val="24"/>
                <w:szCs w:val="24"/>
                <w:lang w:val="en-US" w:eastAsia="zh-CN"/>
              </w:rPr>
              <w:t>会议</w:t>
            </w:r>
            <w:r>
              <w:rPr>
                <w:rFonts w:hint="eastAsia" w:ascii="宋体" w:hAnsi="宋体" w:eastAsia="宋体" w:cs="宋体"/>
                <w:sz w:val="24"/>
                <w:szCs w:val="24"/>
                <w:lang w:val="en-US" w:eastAsia="zh-CN"/>
              </w:rPr>
              <w:t>等其他类型会议</w:t>
            </w:r>
            <w:r>
              <w:rPr>
                <w:rFonts w:hint="eastAsia" w:ascii="宋体" w:hAnsi="宋体" w:cs="宋体"/>
                <w:sz w:val="24"/>
                <w:szCs w:val="24"/>
                <w:lang w:val="en-US" w:eastAsia="zh-CN"/>
              </w:rPr>
              <w:t>未</w:t>
            </w:r>
            <w:r>
              <w:rPr>
                <w:rFonts w:hint="eastAsia" w:ascii="宋体" w:hAnsi="宋体" w:eastAsia="宋体" w:cs="宋体"/>
                <w:sz w:val="24"/>
                <w:szCs w:val="24"/>
                <w:lang w:val="en-US" w:eastAsia="zh-CN"/>
              </w:rPr>
              <w:t>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26</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会议地址距离参会单位距离</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b/>
                <w:bCs/>
                <w:sz w:val="28"/>
                <w:szCs w:val="28"/>
                <w:shd w:val="clear" w:color="auto" w:fill="auto"/>
                <w:lang w:val="en-US" w:eastAsia="zh-CN"/>
              </w:rPr>
              <w:t>序号</w:t>
            </w:r>
          </w:p>
        </w:tc>
        <w:tc>
          <w:tcPr>
            <w:tcW w:w="1380" w:type="dxa"/>
            <w:noWrap w:val="0"/>
            <w:vAlign w:val="center"/>
          </w:tcPr>
          <w:p>
            <w:pPr>
              <w:jc w:val="center"/>
              <w:rPr>
                <w:rFonts w:hint="eastAsia"/>
                <w:sz w:val="24"/>
                <w:szCs w:val="24"/>
                <w:vertAlign w:val="baseline"/>
                <w:lang w:val="en-US" w:eastAsia="zh-CN"/>
              </w:rPr>
            </w:pPr>
            <w:r>
              <w:rPr>
                <w:rFonts w:hint="eastAsia"/>
                <w:b/>
                <w:bCs/>
                <w:sz w:val="28"/>
                <w:szCs w:val="28"/>
                <w:shd w:val="clear" w:color="auto" w:fill="auto"/>
                <w:vertAlign w:val="baseline"/>
                <w:lang w:val="en-US" w:eastAsia="zh-CN"/>
              </w:rPr>
              <w:t>积分类别</w:t>
            </w:r>
          </w:p>
        </w:tc>
        <w:tc>
          <w:tcPr>
            <w:tcW w:w="5220" w:type="dxa"/>
            <w:noWrap w:val="0"/>
            <w:vAlign w:val="center"/>
          </w:tcPr>
          <w:p>
            <w:pPr>
              <w:jc w:val="center"/>
              <w:rPr>
                <w:rFonts w:hint="eastAsia"/>
                <w:sz w:val="24"/>
                <w:szCs w:val="24"/>
                <w:vertAlign w:val="baseline"/>
                <w:lang w:val="en-US" w:eastAsia="zh-CN"/>
              </w:rPr>
            </w:pPr>
            <w:r>
              <w:rPr>
                <w:rFonts w:hint="eastAsia"/>
                <w:b/>
                <w:bCs/>
                <w:sz w:val="28"/>
                <w:szCs w:val="28"/>
                <w:shd w:val="clear" w:color="auto" w:fill="auto"/>
                <w:vertAlign w:val="baseline"/>
                <w:lang w:val="en-US" w:eastAsia="zh-CN"/>
              </w:rPr>
              <w:t>积分标准</w:t>
            </w:r>
          </w:p>
        </w:tc>
        <w:tc>
          <w:tcPr>
            <w:tcW w:w="1118" w:type="dxa"/>
            <w:noWrap w:val="0"/>
            <w:vAlign w:val="center"/>
          </w:tcPr>
          <w:p>
            <w:pPr>
              <w:jc w:val="center"/>
              <w:rPr>
                <w:rFonts w:hint="eastAsia"/>
                <w:sz w:val="24"/>
                <w:szCs w:val="24"/>
                <w:vertAlign w:val="baseline"/>
                <w:lang w:val="en-US" w:eastAsia="zh-CN"/>
              </w:rPr>
            </w:pPr>
            <w:r>
              <w:rPr>
                <w:rFonts w:hint="eastAsia"/>
                <w:b/>
                <w:bCs/>
                <w:sz w:val="28"/>
                <w:szCs w:val="28"/>
                <w:shd w:val="clear" w:color="auto" w:fill="auto"/>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27</w:t>
            </w:r>
          </w:p>
        </w:tc>
        <w:tc>
          <w:tcPr>
            <w:tcW w:w="1380" w:type="dxa"/>
            <w:vMerge w:val="restart"/>
            <w:noWrap w:val="0"/>
            <w:vAlign w:val="center"/>
          </w:tcPr>
          <w:p>
            <w:pPr>
              <w:jc w:val="both"/>
              <w:rPr>
                <w:rFonts w:hint="eastAsia"/>
                <w:sz w:val="24"/>
                <w:szCs w:val="24"/>
                <w:vertAlign w:val="baseline"/>
                <w:lang w:val="en-US" w:eastAsia="zh-CN"/>
              </w:rPr>
            </w:pPr>
            <w:r>
              <w:rPr>
                <w:rFonts w:hint="eastAsia" w:ascii="宋体" w:hAnsi="宋体" w:eastAsia="宋体" w:cs="宋体"/>
                <w:sz w:val="24"/>
                <w:szCs w:val="24"/>
                <w:lang w:val="en-US" w:eastAsia="zh-CN"/>
              </w:rPr>
              <w:t>党建、培训、讲座、论坛、参观、考察、竞赛、文体等活动</w:t>
            </w:r>
            <w:r>
              <w:rPr>
                <w:rFonts w:hint="eastAsia"/>
                <w:sz w:val="24"/>
                <w:szCs w:val="24"/>
                <w:vertAlign w:val="baseline"/>
                <w:lang w:val="en-US" w:eastAsia="zh-CN"/>
              </w:rPr>
              <w:t>积分</w:t>
            </w:r>
          </w:p>
        </w:tc>
        <w:tc>
          <w:tcPr>
            <w:tcW w:w="5220" w:type="dxa"/>
            <w:noWrap w:val="0"/>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党建活动主动报名参加</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28</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其他公益性活动报名参加的每人每次</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29</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其他公益性活动报名未参加</w:t>
            </w:r>
            <w:r>
              <w:rPr>
                <w:rFonts w:hint="eastAsia" w:ascii="宋体" w:hAnsi="宋体" w:cs="宋体"/>
                <w:sz w:val="24"/>
                <w:szCs w:val="24"/>
                <w:lang w:val="en-US" w:eastAsia="zh-CN"/>
              </w:rPr>
              <w:t>每</w:t>
            </w:r>
            <w:r>
              <w:rPr>
                <w:rFonts w:hint="eastAsia" w:ascii="宋体" w:hAnsi="宋体" w:eastAsia="宋体" w:cs="宋体"/>
                <w:sz w:val="24"/>
                <w:szCs w:val="24"/>
                <w:lang w:val="en-US" w:eastAsia="zh-CN"/>
              </w:rPr>
              <w:t>人每次</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30</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其他非公益性活动报名参加的每人每次</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31</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仿宋" w:hAnsi="仿宋" w:eastAsia="仿宋" w:cs="仿宋"/>
                <w:sz w:val="32"/>
                <w:szCs w:val="32"/>
                <w:lang w:val="en-US" w:eastAsia="zh-CN"/>
              </w:rPr>
            </w:pPr>
            <w:r>
              <w:rPr>
                <w:rFonts w:hint="eastAsia"/>
                <w:sz w:val="24"/>
                <w:szCs w:val="24"/>
                <w:vertAlign w:val="baseline"/>
                <w:lang w:val="en-US" w:eastAsia="zh-CN"/>
              </w:rPr>
              <w:t>活动地址距离参会单位距离</w:t>
            </w:r>
          </w:p>
        </w:tc>
        <w:tc>
          <w:tcPr>
            <w:tcW w:w="111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32</w:t>
            </w:r>
          </w:p>
        </w:tc>
        <w:tc>
          <w:tcPr>
            <w:tcW w:w="1380" w:type="dxa"/>
            <w:vMerge w:val="restart"/>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工作积分</w:t>
            </w: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承办或协办协会组织举办的各类会议、活动</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33</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承担或参与协会重要课题、各类专题工作计划、报告、规范性文件、教材或实施方案等起草工作</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34</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为协会工作建言献策并被采纳</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35</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借</w:t>
            </w:r>
            <w:r>
              <w:rPr>
                <w:rFonts w:hint="eastAsia" w:ascii="宋体" w:hAnsi="宋体" w:eastAsia="宋体" w:cs="宋体"/>
                <w:sz w:val="24"/>
                <w:szCs w:val="24"/>
                <w:lang w:val="en-US" w:eastAsia="zh-CN"/>
              </w:rPr>
              <w:t>调工作人员在协会秘书处工作的每人每月</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36</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提供参观学习项目场地每个</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37</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提供15人以上会议室</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38</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提供车辆的每天每车</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39</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提供会议或活动工作人员的每人每天</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40</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按时完成上报的材料或报表等工作任务</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41</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积极投稿的每次</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42</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微信群为他人答疑解难每次</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43</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成功推荐物业企业入会，每推荐一家</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44</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企业负责人或联系人成功加入协会微信群</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4" w:type="dxa"/>
            <w:noWrap w:val="0"/>
            <w:vAlign w:val="center"/>
          </w:tcPr>
          <w:p>
            <w:pPr>
              <w:jc w:val="center"/>
              <w:rPr>
                <w:rFonts w:hint="eastAsia"/>
                <w:sz w:val="24"/>
                <w:szCs w:val="24"/>
                <w:lang w:val="en-US" w:eastAsia="zh-CN"/>
              </w:rPr>
            </w:pPr>
            <w:r>
              <w:rPr>
                <w:rFonts w:hint="eastAsia"/>
                <w:sz w:val="24"/>
                <w:szCs w:val="24"/>
                <w:lang w:val="en-US" w:eastAsia="zh-CN"/>
              </w:rPr>
              <w:t>45</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企业负责人或联系人成功关注协会微信公众号</w:t>
            </w:r>
          </w:p>
        </w:tc>
        <w:tc>
          <w:tcPr>
            <w:tcW w:w="1118"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46</w:t>
            </w:r>
          </w:p>
        </w:tc>
        <w:tc>
          <w:tcPr>
            <w:tcW w:w="1380" w:type="dxa"/>
            <w:vMerge w:val="restart"/>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表彰积分</w:t>
            </w: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被评为自治区物业管理协会上年度最佳会员单位</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47</w:t>
            </w:r>
          </w:p>
        </w:tc>
        <w:tc>
          <w:tcPr>
            <w:tcW w:w="1380" w:type="dxa"/>
            <w:vMerge w:val="continue"/>
            <w:noWrap w:val="0"/>
            <w:vAlign w:val="center"/>
          </w:tcPr>
          <w:p>
            <w:pPr>
              <w:jc w:val="center"/>
              <w:rPr>
                <w:rFonts w:hint="eastAsia"/>
                <w:sz w:val="24"/>
                <w:szCs w:val="24"/>
                <w:vertAlign w:val="baseline"/>
                <w:lang w:val="en-US" w:eastAsia="zh-CN"/>
              </w:rPr>
            </w:pPr>
          </w:p>
        </w:tc>
        <w:tc>
          <w:tcPr>
            <w:tcW w:w="5220" w:type="dxa"/>
            <w:noWrap w:val="0"/>
            <w:vAlign w:val="center"/>
          </w:tcPr>
          <w:p>
            <w:pPr>
              <w:jc w:val="both"/>
              <w:rPr>
                <w:rFonts w:hint="eastAsia" w:ascii="宋体" w:hAnsi="宋体" w:cs="宋体"/>
                <w:sz w:val="24"/>
                <w:szCs w:val="24"/>
                <w:lang w:val="en-US" w:eastAsia="zh-CN"/>
              </w:rPr>
            </w:pPr>
            <w:r>
              <w:rPr>
                <w:rFonts w:hint="eastAsia" w:ascii="宋体" w:hAnsi="宋体" w:cs="宋体"/>
                <w:sz w:val="24"/>
                <w:szCs w:val="24"/>
                <w:lang w:val="en-US" w:eastAsia="zh-CN"/>
              </w:rPr>
              <w:t>被评为自治区物业管理协会上年度优秀会员单位</w:t>
            </w:r>
          </w:p>
        </w:tc>
        <w:tc>
          <w:tcPr>
            <w:tcW w:w="1118"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trPr>
        <w:tc>
          <w:tcPr>
            <w:tcW w:w="804" w:type="dxa"/>
            <w:noWrap w:val="0"/>
            <w:vAlign w:val="center"/>
          </w:tcPr>
          <w:p>
            <w:pPr>
              <w:jc w:val="center"/>
              <w:rPr>
                <w:rFonts w:hint="default"/>
                <w:sz w:val="24"/>
                <w:szCs w:val="24"/>
                <w:lang w:val="en-US" w:eastAsia="zh-CN"/>
              </w:rPr>
            </w:pPr>
            <w:r>
              <w:rPr>
                <w:rFonts w:hint="eastAsia"/>
                <w:sz w:val="24"/>
                <w:szCs w:val="24"/>
                <w:lang w:val="en-US" w:eastAsia="zh-CN"/>
              </w:rPr>
              <w:t>48</w:t>
            </w:r>
          </w:p>
        </w:tc>
        <w:tc>
          <w:tcPr>
            <w:tcW w:w="1380"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其他积分</w:t>
            </w:r>
          </w:p>
        </w:tc>
        <w:tc>
          <w:tcPr>
            <w:tcW w:w="5220"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未列入本办法积分范围内的其他活动，参照本办法相关活动的积分方式</w:t>
            </w:r>
          </w:p>
        </w:tc>
        <w:tc>
          <w:tcPr>
            <w:tcW w:w="111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由秘书处给予相应的积分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163D0"/>
    <w:rsid w:val="7C81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2020-03-31T01:46:00Z</dcterms:created>
  <dc:creator>黄磊</dc:creator>
  <cp:lastModifiedBy>黄磊</cp:lastModifiedBy>
  <dcterms:modified xsi:type="dcterms:W3CDTF">2020-03-31T01:47:09Z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